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2E321" w14:textId="77777777" w:rsidR="00A42689" w:rsidRDefault="00CB5622">
      <w:pPr>
        <w:pStyle w:val="BodyText"/>
        <w:rPr>
          <w:rFonts w:ascii="Times New Roman"/>
        </w:rPr>
      </w:pPr>
      <w:r>
        <w:rPr>
          <w:noProof/>
        </w:rPr>
        <mc:AlternateContent>
          <mc:Choice Requires="wps">
            <w:drawing>
              <wp:anchor distT="0" distB="0" distL="0" distR="0" simplePos="0" relativeHeight="15728640" behindDoc="0" locked="0" layoutInCell="1" allowOverlap="1" wp14:anchorId="3D07371E" wp14:editId="58DA47F9">
                <wp:simplePos x="0" y="0"/>
                <wp:positionH relativeFrom="page">
                  <wp:posOffset>457200</wp:posOffset>
                </wp:positionH>
                <wp:positionV relativeFrom="page">
                  <wp:posOffset>1921764</wp:posOffset>
                </wp:positionV>
                <wp:extent cx="9525" cy="16002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160020"/>
                        </a:xfrm>
                        <a:custGeom>
                          <a:avLst/>
                          <a:gdLst/>
                          <a:ahLst/>
                          <a:cxnLst/>
                          <a:rect l="l" t="t" r="r" b="b"/>
                          <a:pathLst>
                            <a:path w="9525" h="160020">
                              <a:moveTo>
                                <a:pt x="9143" y="0"/>
                              </a:moveTo>
                              <a:lnTo>
                                <a:pt x="0" y="0"/>
                              </a:lnTo>
                              <a:lnTo>
                                <a:pt x="0" y="160020"/>
                              </a:lnTo>
                              <a:lnTo>
                                <a:pt x="9143" y="160020"/>
                              </a:lnTo>
                              <a:lnTo>
                                <a:pt x="91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DF2169D" id="Graphic 1" o:spid="_x0000_s1026" style="position:absolute;margin-left:36pt;margin-top:151.3pt;width:.75pt;height:12.6pt;z-index:15728640;visibility:visible;mso-wrap-style:square;mso-wrap-distance-left:0;mso-wrap-distance-top:0;mso-wrap-distance-right:0;mso-wrap-distance-bottom:0;mso-position-horizontal:absolute;mso-position-horizontal-relative:page;mso-position-vertical:absolute;mso-position-vertical-relative:page;v-text-anchor:top" coordsize="9525,16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" path="m9143,l,,,160020r9143,l9143,xe" fillcolor="black" stroked="f">
                <v:path arrowok="t"/>
                <w10:wrap anchorx="page" anchory="page"/>
              </v:shape>
            </w:pict>
          </mc:Fallback>
        </mc:AlternateContent>
      </w:r>
    </w:p>
    <w:p w14:paraId="2E00278E" w14:textId="77777777" w:rsidR="00A42689" w:rsidRDefault="00A42689">
      <w:pPr>
        <w:pStyle w:val="BodyText"/>
        <w:spacing w:before="194"/>
        <w:rPr>
          <w:rFonts w:ascii="Times New Roman"/>
        </w:rPr>
      </w:pPr>
    </w:p>
    <w:p w14:paraId="56FA3FC3" w14:textId="77777777" w:rsidR="00A42689" w:rsidRDefault="00CB5622" w:rsidP="00CB5622">
      <w:pPr>
        <w:pStyle w:val="Heading1"/>
      </w:pPr>
      <w:r>
        <w:t>PEDESTRIAN</w:t>
      </w:r>
      <w:r>
        <w:rPr>
          <w:spacing w:val="-16"/>
        </w:rPr>
        <w:t xml:space="preserve"> </w:t>
      </w:r>
      <w:r>
        <w:t>TRUSS</w:t>
      </w:r>
      <w:r>
        <w:rPr>
          <w:spacing w:val="-13"/>
        </w:rPr>
        <w:t xml:space="preserve"> </w:t>
      </w:r>
      <w:r>
        <w:rPr>
          <w:spacing w:val="-2"/>
        </w:rPr>
        <w:t>SUPERSTRUCTURE</w:t>
      </w:r>
    </w:p>
    <w:p w14:paraId="596CF920" w14:textId="77777777" w:rsidR="00A42689" w:rsidRDefault="00CB5622">
      <w:pPr>
        <w:pStyle w:val="BodyText"/>
        <w:spacing w:line="252" w:lineRule="exact"/>
        <w:ind w:left="220"/>
      </w:pPr>
      <w:r>
        <w:t>Effective:</w:t>
      </w:r>
      <w:r>
        <w:rPr>
          <w:spacing w:val="51"/>
        </w:rPr>
        <w:t xml:space="preserve"> </w:t>
      </w:r>
      <w:r>
        <w:t>January</w:t>
      </w:r>
      <w:r>
        <w:rPr>
          <w:spacing w:val="-5"/>
        </w:rPr>
        <w:t xml:space="preserve"> </w:t>
      </w:r>
      <w:r>
        <w:t>13,</w:t>
      </w:r>
      <w:r>
        <w:rPr>
          <w:spacing w:val="-5"/>
        </w:rPr>
        <w:t xml:space="preserve"> </w:t>
      </w:r>
      <w:r>
        <w:rPr>
          <w:spacing w:val="-4"/>
        </w:rPr>
        <w:t>1998</w:t>
      </w:r>
    </w:p>
    <w:p w14:paraId="449E1FEF" w14:textId="77777777" w:rsidR="00A42689" w:rsidRDefault="00CB5622">
      <w:pPr>
        <w:pStyle w:val="BodyText"/>
        <w:spacing w:line="252" w:lineRule="exact"/>
        <w:ind w:left="220"/>
      </w:pPr>
      <w:r>
        <w:t>Revised:</w:t>
      </w:r>
      <w:r>
        <w:rPr>
          <w:spacing w:val="24"/>
        </w:rPr>
        <w:t xml:space="preserve">  </w:t>
      </w:r>
      <w:r>
        <w:t>October</w:t>
      </w:r>
      <w:r>
        <w:rPr>
          <w:spacing w:val="-3"/>
        </w:rPr>
        <w:t xml:space="preserve"> </w:t>
      </w:r>
      <w:r>
        <w:t>27,</w:t>
      </w:r>
      <w:r>
        <w:rPr>
          <w:spacing w:val="-4"/>
        </w:rPr>
        <w:t xml:space="preserve"> 2023</w:t>
      </w:r>
    </w:p>
    <w:p w14:paraId="013BEF77" w14:textId="77777777" w:rsidR="00A42689" w:rsidRDefault="00A42689">
      <w:pPr>
        <w:pStyle w:val="BodyText"/>
      </w:pPr>
    </w:p>
    <w:p w14:paraId="735E6153" w14:textId="77777777" w:rsidR="00A42689" w:rsidRDefault="00CB5622">
      <w:pPr>
        <w:pStyle w:val="BodyText"/>
        <w:ind w:left="220" w:right="116"/>
        <w:jc w:val="both"/>
      </w:pPr>
      <w:r>
        <w:rPr>
          <w:b/>
        </w:rPr>
        <w:t>Description:</w:t>
      </w:r>
      <w:r>
        <w:rPr>
          <w:b/>
          <w:spacing w:val="40"/>
        </w:rPr>
        <w:t xml:space="preserve"> </w:t>
      </w:r>
      <w:r>
        <w:t>This work</w:t>
      </w:r>
      <w:r>
        <w:rPr>
          <w:spacing w:val="-1"/>
        </w:rPr>
        <w:t xml:space="preserve"> </w:t>
      </w:r>
      <w:r>
        <w:t>shall consist</w:t>
      </w:r>
      <w:r>
        <w:rPr>
          <w:spacing w:val="-1"/>
        </w:rPr>
        <w:t xml:space="preserve"> </w:t>
      </w:r>
      <w:r>
        <w:t>of the</w:t>
      </w:r>
      <w:r>
        <w:rPr>
          <w:spacing w:val="-1"/>
        </w:rPr>
        <w:t xml:space="preserve"> </w:t>
      </w:r>
      <w:r>
        <w:t>design, fabrication, storage,</w:t>
      </w:r>
      <w:r>
        <w:rPr>
          <w:spacing w:val="-2"/>
        </w:rPr>
        <w:t xml:space="preserve"> </w:t>
      </w:r>
      <w:r>
        <w:t>delivery and</w:t>
      </w:r>
      <w:r>
        <w:rPr>
          <w:spacing w:val="-1"/>
        </w:rPr>
        <w:t xml:space="preserve"> </w:t>
      </w:r>
      <w:r>
        <w:t>erection</w:t>
      </w:r>
      <w:r>
        <w:rPr>
          <w:spacing w:val="-1"/>
        </w:rPr>
        <w:t xml:space="preserve"> </w:t>
      </w:r>
      <w:r>
        <w:t>of a welded steel, pedestrian truss superstructure.</w:t>
      </w:r>
      <w:r>
        <w:rPr>
          <w:spacing w:val="80"/>
        </w:rPr>
        <w:t xml:space="preserve"> </w:t>
      </w:r>
      <w:r>
        <w:t>Also included in this work shall be the furnishing and installation of a deck, all bearings, anchors and/or retainers, railings, fencing and miscellaneous items as indicated on the plans.</w:t>
      </w:r>
    </w:p>
    <w:p w14:paraId="06C896BB" w14:textId="77777777" w:rsidR="00A42689" w:rsidRDefault="00A42689">
      <w:pPr>
        <w:pStyle w:val="BodyText"/>
      </w:pPr>
    </w:p>
    <w:p w14:paraId="584B4066" w14:textId="77777777" w:rsidR="00A42689" w:rsidRDefault="00CB5622">
      <w:pPr>
        <w:pStyle w:val="Heading1"/>
      </w:pPr>
      <w:r>
        <w:rPr>
          <w:spacing w:val="-2"/>
        </w:rPr>
        <w:t>Materials:</w:t>
      </w:r>
    </w:p>
    <w:p w14:paraId="59F2794C" w14:textId="77777777" w:rsidR="00A42689" w:rsidRDefault="00A42689">
      <w:pPr>
        <w:pStyle w:val="BodyText"/>
        <w:spacing w:before="1"/>
        <w:rPr>
          <w:b/>
        </w:rPr>
      </w:pPr>
    </w:p>
    <w:p w14:paraId="46243632" w14:textId="77777777" w:rsidR="00A42689" w:rsidRDefault="00CB5622">
      <w:pPr>
        <w:pStyle w:val="BodyText"/>
        <w:ind w:left="220" w:right="117"/>
        <w:jc w:val="both"/>
      </w:pPr>
      <w:r>
        <w:rPr>
          <w:u w:val="single"/>
        </w:rPr>
        <w:t>Tru</w:t>
      </w:r>
      <w:r>
        <w:rPr>
          <w:u w:val="single"/>
        </w:rPr>
        <w:t>ss.</w:t>
      </w:r>
      <w:r>
        <w:rPr>
          <w:spacing w:val="40"/>
        </w:rPr>
        <w:t xml:space="preserve"> </w:t>
      </w:r>
      <w:r>
        <w:t xml:space="preserve">Structural steel shall conform to the requirements of Section 1006 of the Standard Specifications, ASTM A847 for cold formed welded square and rectangular tubing, AASHTO M270 Grade 50W (M270M 345W) for atmospheric corrosion resistant structural steel, </w:t>
      </w:r>
      <w:r>
        <w:t>as applicable, unless otherwise shown on the plans or approved by the Engineer.</w:t>
      </w:r>
      <w:r>
        <w:rPr>
          <w:spacing w:val="40"/>
        </w:rPr>
        <w:t xml:space="preserve"> </w:t>
      </w:r>
      <w:r>
        <w:t>All structural steel field connections</w:t>
      </w:r>
      <w:r>
        <w:rPr>
          <w:spacing w:val="-1"/>
        </w:rPr>
        <w:t xml:space="preserve"> </w:t>
      </w:r>
      <w:r>
        <w:t>shall be bolted with high strength bolts.</w:t>
      </w:r>
      <w:r>
        <w:rPr>
          <w:spacing w:val="40"/>
        </w:rPr>
        <w:t xml:space="preserve"> </w:t>
      </w:r>
      <w:r>
        <w:t xml:space="preserve">High strength bolts for unpainted weathering steel shall conform to ASTM F 3125 Grade A 325 (F </w:t>
      </w:r>
      <w:r>
        <w:t>3125M Grade A 325M) (Type 3).</w:t>
      </w:r>
      <w:r>
        <w:rPr>
          <w:spacing w:val="40"/>
        </w:rPr>
        <w:t xml:space="preserve"> </w:t>
      </w:r>
      <w:r>
        <w:t>For</w:t>
      </w:r>
      <w:r>
        <w:rPr>
          <w:spacing w:val="-1"/>
        </w:rPr>
        <w:t xml:space="preserve"> </w:t>
      </w:r>
      <w:r>
        <w:t>painted</w:t>
      </w:r>
      <w:r>
        <w:rPr>
          <w:spacing w:val="-1"/>
        </w:rPr>
        <w:t xml:space="preserve"> </w:t>
      </w:r>
      <w:r>
        <w:t>structures,</w:t>
      </w:r>
      <w:r>
        <w:rPr>
          <w:spacing w:val="-1"/>
        </w:rPr>
        <w:t xml:space="preserve"> </w:t>
      </w:r>
      <w:r>
        <w:t>the</w:t>
      </w:r>
      <w:r>
        <w:rPr>
          <w:spacing w:val="-1"/>
        </w:rPr>
        <w:t xml:space="preserve"> </w:t>
      </w:r>
      <w:r>
        <w:t>high</w:t>
      </w:r>
      <w:r>
        <w:rPr>
          <w:spacing w:val="-1"/>
        </w:rPr>
        <w:t xml:space="preserve"> </w:t>
      </w:r>
      <w:r>
        <w:t>strength</w:t>
      </w:r>
      <w:r>
        <w:rPr>
          <w:spacing w:val="-1"/>
        </w:rPr>
        <w:t xml:space="preserve"> </w:t>
      </w:r>
      <w:r>
        <w:t>bolts</w:t>
      </w:r>
      <w:r>
        <w:rPr>
          <w:spacing w:val="-1"/>
        </w:rPr>
        <w:t xml:space="preserve"> </w:t>
      </w:r>
      <w:r>
        <w:t>shall</w:t>
      </w:r>
      <w:r>
        <w:rPr>
          <w:spacing w:val="-1"/>
        </w:rPr>
        <w:t xml:space="preserve"> </w:t>
      </w:r>
      <w:r>
        <w:t>be</w:t>
      </w:r>
      <w:r>
        <w:rPr>
          <w:spacing w:val="-1"/>
        </w:rPr>
        <w:t xml:space="preserve"> </w:t>
      </w:r>
      <w:r>
        <w:t>mechanically</w:t>
      </w:r>
      <w:r>
        <w:rPr>
          <w:spacing w:val="-1"/>
        </w:rPr>
        <w:t xml:space="preserve"> </w:t>
      </w:r>
      <w:r>
        <w:t>galvanized</w:t>
      </w:r>
      <w:r>
        <w:rPr>
          <w:spacing w:val="-2"/>
        </w:rPr>
        <w:t xml:space="preserve"> </w:t>
      </w:r>
      <w:r>
        <w:t>according</w:t>
      </w:r>
      <w:r>
        <w:rPr>
          <w:spacing w:val="-2"/>
        </w:rPr>
        <w:t xml:space="preserve"> </w:t>
      </w:r>
      <w:r>
        <w:t>to the requirements of Article 1006.08(a) of the Standard Specifications.</w:t>
      </w:r>
    </w:p>
    <w:p w14:paraId="763FF0FB" w14:textId="77777777" w:rsidR="00A42689" w:rsidRDefault="00CB5622">
      <w:pPr>
        <w:pStyle w:val="BodyText"/>
        <w:spacing w:before="252"/>
        <w:ind w:left="220"/>
      </w:pPr>
      <w:r>
        <w:rPr>
          <w:u w:val="single"/>
        </w:rPr>
        <w:t>Deck.</w:t>
      </w:r>
      <w:r>
        <w:rPr>
          <w:spacing w:val="80"/>
        </w:rPr>
        <w:t xml:space="preserve"> </w:t>
      </w:r>
      <w:r>
        <w:t>The</w:t>
      </w:r>
      <w:r>
        <w:rPr>
          <w:spacing w:val="18"/>
        </w:rPr>
        <w:t xml:space="preserve"> </w:t>
      </w:r>
      <w:r>
        <w:t>deck</w:t>
      </w:r>
      <w:r>
        <w:rPr>
          <w:spacing w:val="20"/>
        </w:rPr>
        <w:t xml:space="preserve"> </w:t>
      </w:r>
      <w:r>
        <w:t>type</w:t>
      </w:r>
      <w:r>
        <w:rPr>
          <w:spacing w:val="19"/>
        </w:rPr>
        <w:t xml:space="preserve"> </w:t>
      </w:r>
      <w:r>
        <w:t>shall</w:t>
      </w:r>
      <w:r>
        <w:rPr>
          <w:spacing w:val="19"/>
        </w:rPr>
        <w:t xml:space="preserve"> </w:t>
      </w:r>
      <w:r>
        <w:t>be</w:t>
      </w:r>
      <w:r>
        <w:rPr>
          <w:spacing w:val="19"/>
        </w:rPr>
        <w:t xml:space="preserve"> </w:t>
      </w:r>
      <w:r>
        <w:t>as</w:t>
      </w:r>
      <w:r>
        <w:rPr>
          <w:spacing w:val="20"/>
        </w:rPr>
        <w:t xml:space="preserve"> </w:t>
      </w:r>
      <w:r>
        <w:t>specified</w:t>
      </w:r>
      <w:r>
        <w:rPr>
          <w:spacing w:val="19"/>
        </w:rPr>
        <w:t xml:space="preserve"> </w:t>
      </w:r>
      <w:r>
        <w:t>on</w:t>
      </w:r>
      <w:r>
        <w:rPr>
          <w:spacing w:val="17"/>
        </w:rPr>
        <w:t xml:space="preserve"> </w:t>
      </w:r>
      <w:r>
        <w:t>the</w:t>
      </w:r>
      <w:r>
        <w:rPr>
          <w:spacing w:val="19"/>
        </w:rPr>
        <w:t xml:space="preserve"> </w:t>
      </w:r>
      <w:r>
        <w:t>plans.</w:t>
      </w:r>
      <w:r>
        <w:rPr>
          <w:spacing w:val="80"/>
        </w:rPr>
        <w:t xml:space="preserve"> </w:t>
      </w:r>
      <w:r>
        <w:t>The</w:t>
      </w:r>
      <w:r>
        <w:rPr>
          <w:spacing w:val="19"/>
        </w:rPr>
        <w:t xml:space="preserve"> </w:t>
      </w:r>
      <w:r>
        <w:t>materials</w:t>
      </w:r>
      <w:r>
        <w:rPr>
          <w:spacing w:val="20"/>
        </w:rPr>
        <w:t xml:space="preserve"> </w:t>
      </w:r>
      <w:r>
        <w:t>shall</w:t>
      </w:r>
      <w:r>
        <w:rPr>
          <w:spacing w:val="19"/>
        </w:rPr>
        <w:t xml:space="preserve"> </w:t>
      </w:r>
      <w:r>
        <w:t>comply</w:t>
      </w:r>
      <w:r>
        <w:rPr>
          <w:spacing w:val="20"/>
        </w:rPr>
        <w:t xml:space="preserve"> </w:t>
      </w:r>
      <w:r>
        <w:t>with</w:t>
      </w:r>
      <w:r>
        <w:rPr>
          <w:spacing w:val="19"/>
        </w:rPr>
        <w:t xml:space="preserve"> </w:t>
      </w:r>
      <w:r>
        <w:t>the applicable portions of the materials section of the Standard Specifications.</w:t>
      </w:r>
    </w:p>
    <w:p w14:paraId="0E0CBEB4" w14:textId="77777777" w:rsidR="00A42689" w:rsidRDefault="00A42689">
      <w:pPr>
        <w:pStyle w:val="BodyText"/>
        <w:spacing w:before="1"/>
      </w:pPr>
    </w:p>
    <w:p w14:paraId="19FCBA10" w14:textId="77777777" w:rsidR="00A42689" w:rsidRDefault="00CB5622">
      <w:pPr>
        <w:pStyle w:val="BodyText"/>
        <w:ind w:left="220" w:right="116"/>
        <w:jc w:val="both"/>
      </w:pPr>
      <w:r>
        <w:t>When specifi</w:t>
      </w:r>
      <w:r>
        <w:t xml:space="preserve">ed for use, the concrete deck and stay-in-place forms shall be </w:t>
      </w:r>
      <w:proofErr w:type="spellStart"/>
      <w:r>
        <w:t>non composite</w:t>
      </w:r>
      <w:proofErr w:type="spellEnd"/>
      <w:r>
        <w:t>. Metal Forms shall have a minimum thickness of 0.0359 in. (912 microns) or 20 Gage and shall be galvanized per ASTM A653 (A653M) with a G90 (Z275) min. coating designation.</w:t>
      </w:r>
    </w:p>
    <w:p w14:paraId="0F7AB3E9" w14:textId="77777777" w:rsidR="00A42689" w:rsidRDefault="00A42689">
      <w:pPr>
        <w:pStyle w:val="BodyText"/>
      </w:pPr>
    </w:p>
    <w:p w14:paraId="715498AE" w14:textId="77777777" w:rsidR="00A42689" w:rsidRDefault="00CB5622">
      <w:pPr>
        <w:pStyle w:val="BodyText"/>
        <w:ind w:left="220"/>
      </w:pPr>
      <w:r>
        <w:rPr>
          <w:u w:val="single"/>
        </w:rPr>
        <w:t>Raili</w:t>
      </w:r>
      <w:r>
        <w:rPr>
          <w:u w:val="single"/>
        </w:rPr>
        <w:t>ng.</w:t>
      </w:r>
      <w:r>
        <w:rPr>
          <w:spacing w:val="40"/>
        </w:rPr>
        <w:t xml:space="preserve"> </w:t>
      </w:r>
      <w:r>
        <w:t>The railing shall consist of</w:t>
      </w:r>
      <w:r>
        <w:rPr>
          <w:spacing w:val="-1"/>
        </w:rPr>
        <w:t xml:space="preserve"> </w:t>
      </w:r>
      <w:r>
        <w:t xml:space="preserve">a smooth rub rail, a toe </w:t>
      </w:r>
      <w:proofErr w:type="gramStart"/>
      <w:r>
        <w:t>plate</w:t>
      </w:r>
      <w:proofErr w:type="gramEnd"/>
      <w:r>
        <w:t xml:space="preserve"> and misc. elements, all located on the inside face of the truss.</w:t>
      </w:r>
    </w:p>
    <w:p w14:paraId="55723D67" w14:textId="77777777" w:rsidR="00A42689" w:rsidRDefault="00CB5622">
      <w:pPr>
        <w:pStyle w:val="BodyText"/>
        <w:spacing w:before="252"/>
        <w:ind w:left="220" w:right="119"/>
      </w:pPr>
      <w:r>
        <w:rPr>
          <w:u w:val="single"/>
        </w:rPr>
        <w:t>Bearings.</w:t>
      </w:r>
      <w:r>
        <w:t xml:space="preserve"> The bearing shall be designed and furnished as detailed in the plans, in the absence of details, the bearings details</w:t>
      </w:r>
      <w:r>
        <w:t xml:space="preserve"> shall be as specified by the bridge manufacturer.</w:t>
      </w:r>
    </w:p>
    <w:p w14:paraId="1AAA6B5E" w14:textId="77777777" w:rsidR="00A42689" w:rsidRDefault="00A42689">
      <w:pPr>
        <w:pStyle w:val="BodyText"/>
        <w:spacing w:before="1"/>
      </w:pPr>
    </w:p>
    <w:p w14:paraId="16E5AB8D" w14:textId="77777777" w:rsidR="00A42689" w:rsidRDefault="00CB5622">
      <w:pPr>
        <w:pStyle w:val="BodyText"/>
        <w:ind w:left="220" w:right="117"/>
        <w:jc w:val="both"/>
      </w:pPr>
      <w:r>
        <w:t>When specified for use, elastomeric bearings shall be according to Article 1083 of the Standard Specifications.</w:t>
      </w:r>
      <w:r>
        <w:rPr>
          <w:spacing w:val="40"/>
        </w:rPr>
        <w:t xml:space="preserve"> </w:t>
      </w:r>
      <w:r>
        <w:t>Teflon</w:t>
      </w:r>
      <w:r>
        <w:rPr>
          <w:spacing w:val="-2"/>
        </w:rPr>
        <w:t xml:space="preserve"> </w:t>
      </w:r>
      <w:r>
        <w:t>surfaces</w:t>
      </w:r>
      <w:r>
        <w:rPr>
          <w:spacing w:val="-2"/>
        </w:rPr>
        <w:t xml:space="preserve"> </w:t>
      </w:r>
      <w:r>
        <w:t>shall</w:t>
      </w:r>
      <w:r>
        <w:rPr>
          <w:spacing w:val="-2"/>
        </w:rPr>
        <w:t xml:space="preserve"> </w:t>
      </w:r>
      <w:r>
        <w:t>be</w:t>
      </w:r>
      <w:r>
        <w:rPr>
          <w:spacing w:val="-2"/>
        </w:rPr>
        <w:t xml:space="preserve"> </w:t>
      </w:r>
      <w:r>
        <w:t>per</w:t>
      </w:r>
      <w:r>
        <w:rPr>
          <w:spacing w:val="-2"/>
        </w:rPr>
        <w:t xml:space="preserve"> </w:t>
      </w:r>
      <w:r>
        <w:t>Article</w:t>
      </w:r>
      <w:r>
        <w:rPr>
          <w:spacing w:val="-2"/>
        </w:rPr>
        <w:t xml:space="preserve"> </w:t>
      </w:r>
      <w:r>
        <w:t>1083.02(b)</w:t>
      </w:r>
      <w:r>
        <w:rPr>
          <w:spacing w:val="-2"/>
        </w:rPr>
        <w:t xml:space="preserve"> </w:t>
      </w:r>
      <w:r>
        <w:t>of</w:t>
      </w:r>
      <w:r>
        <w:rPr>
          <w:spacing w:val="-2"/>
        </w:rPr>
        <w:t xml:space="preserve"> </w:t>
      </w:r>
      <w:r>
        <w:t>the</w:t>
      </w:r>
      <w:r>
        <w:rPr>
          <w:spacing w:val="-2"/>
        </w:rPr>
        <w:t xml:space="preserve"> </w:t>
      </w:r>
      <w:r>
        <w:t>Standard</w:t>
      </w:r>
      <w:r>
        <w:rPr>
          <w:spacing w:val="-2"/>
        </w:rPr>
        <w:t xml:space="preserve"> </w:t>
      </w:r>
      <w:r>
        <w:t>Specification</w:t>
      </w:r>
      <w:r>
        <w:rPr>
          <w:spacing w:val="-2"/>
        </w:rPr>
        <w:t xml:space="preserve"> </w:t>
      </w:r>
      <w:r>
        <w:t>and shall be b</w:t>
      </w:r>
      <w:r>
        <w:t>onded to the bearing plate.</w:t>
      </w:r>
    </w:p>
    <w:p w14:paraId="03F2EEC2" w14:textId="77777777" w:rsidR="00A42689" w:rsidRDefault="00CB5622">
      <w:pPr>
        <w:pStyle w:val="BodyText"/>
        <w:spacing w:before="252"/>
        <w:ind w:left="220" w:right="117"/>
        <w:jc w:val="both"/>
      </w:pPr>
      <w:r>
        <w:rPr>
          <w:u w:val="single"/>
        </w:rPr>
        <w:t>Suppliers.</w:t>
      </w:r>
      <w:r>
        <w:rPr>
          <w:spacing w:val="40"/>
        </w:rPr>
        <w:t xml:space="preserve"> </w:t>
      </w:r>
      <w:r>
        <w:t>The Department maintains a pre-qualified list of proprietary structural systems allowed for pedestrian truss superstructures.</w:t>
      </w:r>
      <w:r>
        <w:rPr>
          <w:spacing w:val="80"/>
        </w:rPr>
        <w:t xml:space="preserve"> </w:t>
      </w:r>
      <w:r>
        <w:t>This list can be found on the Departments web site under Prequalified Structural Systems.</w:t>
      </w:r>
      <w:r>
        <w:rPr>
          <w:spacing w:val="40"/>
        </w:rPr>
        <w:t xml:space="preserve"> </w:t>
      </w:r>
      <w:r>
        <w:t xml:space="preserve">The Contractor’s options are limited to </w:t>
      </w:r>
      <w:r>
        <w:t>those systems pre-qualified by the Department on the date that the project is bid.</w:t>
      </w:r>
      <w:r>
        <w:rPr>
          <w:spacing w:val="80"/>
        </w:rPr>
        <w:t xml:space="preserve"> </w:t>
      </w:r>
      <w:r>
        <w:t>These systems have</w:t>
      </w:r>
      <w:r>
        <w:rPr>
          <w:spacing w:val="-1"/>
        </w:rPr>
        <w:t xml:space="preserve"> </w:t>
      </w:r>
      <w:r>
        <w:t>been</w:t>
      </w:r>
      <w:r>
        <w:rPr>
          <w:spacing w:val="-2"/>
        </w:rPr>
        <w:t xml:space="preserve"> </w:t>
      </w:r>
      <w:r>
        <w:t>reviewed</w:t>
      </w:r>
      <w:r>
        <w:rPr>
          <w:spacing w:val="-1"/>
        </w:rPr>
        <w:t xml:space="preserve"> </w:t>
      </w:r>
      <w:r>
        <w:t>for</w:t>
      </w:r>
      <w:r>
        <w:rPr>
          <w:spacing w:val="-2"/>
        </w:rPr>
        <w:t xml:space="preserve"> </w:t>
      </w:r>
      <w:r>
        <w:t>structural</w:t>
      </w:r>
      <w:r>
        <w:rPr>
          <w:spacing w:val="-1"/>
        </w:rPr>
        <w:t xml:space="preserve"> </w:t>
      </w:r>
      <w:r>
        <w:t>feasibility</w:t>
      </w:r>
      <w:r>
        <w:rPr>
          <w:spacing w:val="-1"/>
        </w:rPr>
        <w:t xml:space="preserve"> </w:t>
      </w:r>
      <w:r>
        <w:t>and</w:t>
      </w:r>
      <w:r>
        <w:rPr>
          <w:spacing w:val="-2"/>
        </w:rPr>
        <w:t xml:space="preserve"> </w:t>
      </w:r>
      <w:r>
        <w:t>adequacy</w:t>
      </w:r>
      <w:r>
        <w:rPr>
          <w:spacing w:val="-2"/>
        </w:rPr>
        <w:t xml:space="preserve"> </w:t>
      </w:r>
      <w:r>
        <w:t>only.</w:t>
      </w:r>
      <w:r>
        <w:rPr>
          <w:spacing w:val="40"/>
        </w:rPr>
        <w:t xml:space="preserve"> </w:t>
      </w:r>
      <w:r>
        <w:t>Presence</w:t>
      </w:r>
      <w:r>
        <w:rPr>
          <w:spacing w:val="-1"/>
        </w:rPr>
        <w:t xml:space="preserve"> </w:t>
      </w:r>
      <w:r>
        <w:t>on</w:t>
      </w:r>
      <w:r>
        <w:rPr>
          <w:spacing w:val="-2"/>
        </w:rPr>
        <w:t xml:space="preserve"> </w:t>
      </w:r>
      <w:r>
        <w:t>this</w:t>
      </w:r>
      <w:r>
        <w:rPr>
          <w:spacing w:val="-1"/>
        </w:rPr>
        <w:t xml:space="preserve"> </w:t>
      </w:r>
      <w:r>
        <w:t>list</w:t>
      </w:r>
      <w:r>
        <w:rPr>
          <w:spacing w:val="-1"/>
        </w:rPr>
        <w:t xml:space="preserve"> </w:t>
      </w:r>
      <w:r>
        <w:t>shall</w:t>
      </w:r>
      <w:r>
        <w:rPr>
          <w:spacing w:val="-1"/>
        </w:rPr>
        <w:t xml:space="preserve"> </w:t>
      </w:r>
      <w:r>
        <w:t>in</w:t>
      </w:r>
      <w:r>
        <w:rPr>
          <w:spacing w:val="-2"/>
        </w:rPr>
        <w:t xml:space="preserve"> </w:t>
      </w:r>
      <w:r>
        <w:t>no case relieve the Contractor of the site-specific design or QC/QA requirements stated herein.</w:t>
      </w:r>
    </w:p>
    <w:p w14:paraId="19BE343D" w14:textId="77777777" w:rsidR="00A42689" w:rsidRDefault="00A42689">
      <w:pPr>
        <w:pStyle w:val="BodyText"/>
        <w:spacing w:before="1"/>
      </w:pPr>
    </w:p>
    <w:p w14:paraId="30E6BEA2" w14:textId="77777777" w:rsidR="00A42689" w:rsidRDefault="00CB5622">
      <w:pPr>
        <w:pStyle w:val="BodyText"/>
        <w:ind w:left="220"/>
      </w:pPr>
      <w:r>
        <w:t>The</w:t>
      </w:r>
      <w:r>
        <w:rPr>
          <w:spacing w:val="32"/>
        </w:rPr>
        <w:t xml:space="preserve"> </w:t>
      </w:r>
      <w:r>
        <w:t>manufacturer</w:t>
      </w:r>
      <w:r>
        <w:rPr>
          <w:spacing w:val="32"/>
        </w:rPr>
        <w:t xml:space="preserve"> </w:t>
      </w:r>
      <w:r>
        <w:t>shall</w:t>
      </w:r>
      <w:r>
        <w:rPr>
          <w:spacing w:val="30"/>
        </w:rPr>
        <w:t xml:space="preserve"> </w:t>
      </w:r>
      <w:r>
        <w:t>provide</w:t>
      </w:r>
      <w:r>
        <w:rPr>
          <w:spacing w:val="32"/>
        </w:rPr>
        <w:t xml:space="preserve"> </w:t>
      </w:r>
      <w:r>
        <w:t>evidence</w:t>
      </w:r>
      <w:r>
        <w:rPr>
          <w:spacing w:val="32"/>
        </w:rPr>
        <w:t xml:space="preserve"> </w:t>
      </w:r>
      <w:r>
        <w:t>of</w:t>
      </w:r>
      <w:r>
        <w:rPr>
          <w:spacing w:val="32"/>
        </w:rPr>
        <w:t xml:space="preserve"> </w:t>
      </w:r>
      <w:r>
        <w:t>current</w:t>
      </w:r>
      <w:r>
        <w:rPr>
          <w:spacing w:val="32"/>
        </w:rPr>
        <w:t xml:space="preserve"> </w:t>
      </w:r>
      <w:r>
        <w:t>certification</w:t>
      </w:r>
      <w:r>
        <w:rPr>
          <w:spacing w:val="32"/>
        </w:rPr>
        <w:t xml:space="preserve"> </w:t>
      </w:r>
      <w:r>
        <w:t>by</w:t>
      </w:r>
      <w:r>
        <w:rPr>
          <w:spacing w:val="32"/>
        </w:rPr>
        <w:t xml:space="preserve"> </w:t>
      </w:r>
      <w:r>
        <w:t>AISC</w:t>
      </w:r>
      <w:r>
        <w:rPr>
          <w:spacing w:val="32"/>
        </w:rPr>
        <w:t xml:space="preserve"> </w:t>
      </w:r>
      <w:r>
        <w:t>according</w:t>
      </w:r>
      <w:r>
        <w:rPr>
          <w:spacing w:val="32"/>
        </w:rPr>
        <w:t xml:space="preserve"> </w:t>
      </w:r>
      <w:r>
        <w:t>to</w:t>
      </w:r>
      <w:r>
        <w:rPr>
          <w:spacing w:val="32"/>
        </w:rPr>
        <w:t xml:space="preserve"> </w:t>
      </w:r>
      <w:r>
        <w:t>Article 106.08(b) of the Standard Specifications.</w:t>
      </w:r>
    </w:p>
    <w:p w14:paraId="1F2C28B7" w14:textId="77777777" w:rsidR="00A42689" w:rsidRDefault="00A42689">
      <w:pPr>
        <w:sectPr w:rsidR="00A42689">
          <w:type w:val="continuous"/>
          <w:pgSz w:w="12240" w:h="15840"/>
          <w:pgMar w:top="1820" w:right="1320" w:bottom="280" w:left="1220" w:header="720" w:footer="720" w:gutter="0"/>
          <w:cols w:space="720"/>
        </w:sectPr>
      </w:pPr>
    </w:p>
    <w:p w14:paraId="7C22C27A" w14:textId="77777777" w:rsidR="00A42689" w:rsidRDefault="00A42689">
      <w:pPr>
        <w:pStyle w:val="BodyText"/>
      </w:pPr>
    </w:p>
    <w:p w14:paraId="5C8BC5E5" w14:textId="77777777" w:rsidR="00A42689" w:rsidRDefault="00A42689">
      <w:pPr>
        <w:pStyle w:val="BodyText"/>
        <w:spacing w:before="194"/>
      </w:pPr>
    </w:p>
    <w:p w14:paraId="7933BA87" w14:textId="77777777" w:rsidR="00A42689" w:rsidRDefault="00CB5622">
      <w:pPr>
        <w:pStyle w:val="BodyText"/>
        <w:ind w:left="220" w:right="117"/>
        <w:jc w:val="both"/>
      </w:pPr>
      <w:r>
        <w:rPr>
          <w:b/>
        </w:rPr>
        <w:t>Design:</w:t>
      </w:r>
      <w:r>
        <w:rPr>
          <w:b/>
          <w:spacing w:val="40"/>
        </w:rPr>
        <w:t xml:space="preserve"> </w:t>
      </w:r>
      <w:r>
        <w:t>T</w:t>
      </w:r>
      <w:r>
        <w:t>he superstructure shall conform to the clear span, clear width, and railing configuration shown on the contract plans.</w:t>
      </w:r>
      <w:r>
        <w:rPr>
          <w:spacing w:val="40"/>
        </w:rPr>
        <w:t xml:space="preserve"> </w:t>
      </w:r>
      <w:r>
        <w:t>The design shall be according to the LRFD Guide Specifications for the Design of Pedestrian Bridges.</w:t>
      </w:r>
      <w:r>
        <w:rPr>
          <w:spacing w:val="40"/>
        </w:rPr>
        <w:t xml:space="preserve"> </w:t>
      </w:r>
      <w:r>
        <w:t>The design loads shall be as specifi</w:t>
      </w:r>
      <w:r>
        <w:t>ed by the Guide Specification except as follows:</w:t>
      </w:r>
    </w:p>
    <w:p w14:paraId="5087D32A" w14:textId="77777777" w:rsidR="00A42689" w:rsidRDefault="00A42689">
      <w:pPr>
        <w:pStyle w:val="BodyText"/>
        <w:spacing w:before="22" w:after="1"/>
        <w:rPr>
          <w:sz w:val="20"/>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94"/>
        <w:gridCol w:w="1584"/>
        <w:gridCol w:w="4464"/>
      </w:tblGrid>
      <w:tr w:rsidR="00A42689" w14:paraId="37BDA371" w14:textId="77777777">
        <w:trPr>
          <w:trHeight w:val="252"/>
        </w:trPr>
        <w:tc>
          <w:tcPr>
            <w:tcW w:w="8442" w:type="dxa"/>
            <w:gridSpan w:val="3"/>
          </w:tcPr>
          <w:p w14:paraId="05BCD17F" w14:textId="77777777" w:rsidR="00A42689" w:rsidRDefault="00CB5622">
            <w:pPr>
              <w:pStyle w:val="TableParagraph"/>
            </w:pPr>
            <w:r>
              <w:t>Design</w:t>
            </w:r>
            <w:r>
              <w:rPr>
                <w:spacing w:val="-6"/>
              </w:rPr>
              <w:t xml:space="preserve"> </w:t>
            </w:r>
            <w:r>
              <w:t>Wind</w:t>
            </w:r>
            <w:r>
              <w:rPr>
                <w:spacing w:val="-6"/>
              </w:rPr>
              <w:t xml:space="preserve"> </w:t>
            </w:r>
            <w:r>
              <w:t>Loads</w:t>
            </w:r>
            <w:r>
              <w:rPr>
                <w:spacing w:val="-6"/>
              </w:rPr>
              <w:t xml:space="preserve"> </w:t>
            </w:r>
            <w:r>
              <w:t>(</w:t>
            </w:r>
            <w:proofErr w:type="spellStart"/>
            <w:r>
              <w:t>P</w:t>
            </w:r>
            <w:r>
              <w:rPr>
                <w:vertAlign w:val="subscript"/>
              </w:rPr>
              <w:t>z</w:t>
            </w:r>
            <w:proofErr w:type="spellEnd"/>
            <w:r>
              <w:t>)</w:t>
            </w:r>
            <w:r>
              <w:rPr>
                <w:spacing w:val="-7"/>
              </w:rPr>
              <w:t xml:space="preserve"> </w:t>
            </w:r>
            <w:r>
              <w:t>for</w:t>
            </w:r>
            <w:r>
              <w:rPr>
                <w:spacing w:val="-6"/>
              </w:rPr>
              <w:t xml:space="preserve"> </w:t>
            </w:r>
            <w:r>
              <w:t>Pedestrian</w:t>
            </w:r>
            <w:r>
              <w:rPr>
                <w:spacing w:val="-5"/>
              </w:rPr>
              <w:t xml:space="preserve"> </w:t>
            </w:r>
            <w:r>
              <w:t>Trusses</w:t>
            </w:r>
            <w:r>
              <w:rPr>
                <w:spacing w:val="-7"/>
              </w:rPr>
              <w:t xml:space="preserve"> </w:t>
            </w:r>
            <w:r>
              <w:t>in</w:t>
            </w:r>
            <w:r>
              <w:rPr>
                <w:spacing w:val="-6"/>
              </w:rPr>
              <w:t xml:space="preserve"> </w:t>
            </w:r>
            <w:r>
              <w:rPr>
                <w:spacing w:val="-2"/>
              </w:rPr>
              <w:t>Illinois</w:t>
            </w:r>
          </w:p>
        </w:tc>
      </w:tr>
      <w:tr w:rsidR="00A42689" w14:paraId="41C820E1" w14:textId="77777777">
        <w:trPr>
          <w:trHeight w:val="252"/>
        </w:trPr>
        <w:tc>
          <w:tcPr>
            <w:tcW w:w="2394" w:type="dxa"/>
          </w:tcPr>
          <w:p w14:paraId="013409A2" w14:textId="77777777" w:rsidR="00A42689" w:rsidRDefault="00CB5622">
            <w:pPr>
              <w:pStyle w:val="TableParagraph"/>
            </w:pPr>
            <w:r>
              <w:rPr>
                <w:spacing w:val="-2"/>
              </w:rPr>
              <w:t>Application</w:t>
            </w:r>
          </w:p>
        </w:tc>
        <w:tc>
          <w:tcPr>
            <w:tcW w:w="1584" w:type="dxa"/>
          </w:tcPr>
          <w:p w14:paraId="44624EB0" w14:textId="77777777" w:rsidR="00A42689" w:rsidRDefault="00CB5622">
            <w:pPr>
              <w:pStyle w:val="TableParagraph"/>
            </w:pPr>
            <w:proofErr w:type="spellStart"/>
            <w:r>
              <w:t>psf</w:t>
            </w:r>
            <w:proofErr w:type="spellEnd"/>
            <w:r>
              <w:rPr>
                <w:spacing w:val="-3"/>
              </w:rPr>
              <w:t xml:space="preserve"> </w:t>
            </w:r>
            <w:r>
              <w:rPr>
                <w:spacing w:val="-2"/>
              </w:rPr>
              <w:t>(kPa)</w:t>
            </w:r>
          </w:p>
        </w:tc>
        <w:tc>
          <w:tcPr>
            <w:tcW w:w="4464" w:type="dxa"/>
          </w:tcPr>
          <w:p w14:paraId="0A7190AE" w14:textId="77777777" w:rsidR="00A42689" w:rsidRDefault="00CB5622">
            <w:pPr>
              <w:pStyle w:val="TableParagraph"/>
            </w:pPr>
            <w:r>
              <w:t>Applied</w:t>
            </w:r>
            <w:r>
              <w:rPr>
                <w:spacing w:val="-9"/>
              </w:rPr>
              <w:t xml:space="preserve"> </w:t>
            </w:r>
            <w:r>
              <w:rPr>
                <w:spacing w:val="-5"/>
              </w:rPr>
              <w:t>to:</w:t>
            </w:r>
          </w:p>
        </w:tc>
      </w:tr>
      <w:tr w:rsidR="00A42689" w14:paraId="09420E93" w14:textId="77777777">
        <w:trPr>
          <w:trHeight w:val="253"/>
        </w:trPr>
        <w:tc>
          <w:tcPr>
            <w:tcW w:w="2394" w:type="dxa"/>
          </w:tcPr>
          <w:p w14:paraId="35A21E06" w14:textId="77777777" w:rsidR="00A42689" w:rsidRDefault="00CB5622">
            <w:pPr>
              <w:pStyle w:val="TableParagraph"/>
              <w:spacing w:before="1"/>
            </w:pPr>
            <w:r>
              <w:t>Circular</w:t>
            </w:r>
            <w:r>
              <w:rPr>
                <w:spacing w:val="-8"/>
              </w:rPr>
              <w:t xml:space="preserve"> </w:t>
            </w:r>
            <w:r>
              <w:rPr>
                <w:spacing w:val="-2"/>
              </w:rPr>
              <w:t>Members</w:t>
            </w:r>
          </w:p>
        </w:tc>
        <w:tc>
          <w:tcPr>
            <w:tcW w:w="1584" w:type="dxa"/>
          </w:tcPr>
          <w:p w14:paraId="27668E31" w14:textId="77777777" w:rsidR="00A42689" w:rsidRDefault="00CB5622">
            <w:pPr>
              <w:pStyle w:val="TableParagraph"/>
              <w:spacing w:before="1"/>
              <w:ind w:left="108"/>
            </w:pPr>
            <w:r>
              <w:t>35</w:t>
            </w:r>
            <w:r>
              <w:rPr>
                <w:spacing w:val="-3"/>
              </w:rPr>
              <w:t xml:space="preserve"> </w:t>
            </w:r>
            <w:r>
              <w:rPr>
                <w:spacing w:val="-2"/>
              </w:rPr>
              <w:t>(1.68)</w:t>
            </w:r>
          </w:p>
        </w:tc>
        <w:tc>
          <w:tcPr>
            <w:tcW w:w="4464" w:type="dxa"/>
          </w:tcPr>
          <w:p w14:paraId="2469C89E" w14:textId="77777777" w:rsidR="00A42689" w:rsidRDefault="00CB5622">
            <w:pPr>
              <w:pStyle w:val="TableParagraph"/>
              <w:spacing w:before="1"/>
              <w:ind w:left="108"/>
            </w:pPr>
            <w:r>
              <w:t>Projected</w:t>
            </w:r>
            <w:r>
              <w:rPr>
                <w:spacing w:val="-6"/>
              </w:rPr>
              <w:t xml:space="preserve"> </w:t>
            </w:r>
            <w:r>
              <w:t>vertical</w:t>
            </w:r>
            <w:r>
              <w:rPr>
                <w:spacing w:val="-6"/>
              </w:rPr>
              <w:t xml:space="preserve"> </w:t>
            </w:r>
            <w:r>
              <w:t>area</w:t>
            </w:r>
            <w:r>
              <w:rPr>
                <w:spacing w:val="-6"/>
              </w:rPr>
              <w:t xml:space="preserve"> </w:t>
            </w:r>
            <w:r>
              <w:t>of</w:t>
            </w:r>
            <w:r>
              <w:rPr>
                <w:spacing w:val="-7"/>
              </w:rPr>
              <w:t xml:space="preserve"> </w:t>
            </w:r>
            <w:r>
              <w:rPr>
                <w:spacing w:val="-2"/>
              </w:rPr>
              <w:t>member</w:t>
            </w:r>
          </w:p>
        </w:tc>
      </w:tr>
      <w:tr w:rsidR="00A42689" w14:paraId="448F9D9E" w14:textId="77777777">
        <w:trPr>
          <w:trHeight w:val="252"/>
        </w:trPr>
        <w:tc>
          <w:tcPr>
            <w:tcW w:w="2394" w:type="dxa"/>
          </w:tcPr>
          <w:p w14:paraId="4635C138" w14:textId="77777777" w:rsidR="00A42689" w:rsidRDefault="00CB5622">
            <w:pPr>
              <w:pStyle w:val="TableParagraph"/>
            </w:pPr>
            <w:r>
              <w:t>Flat</w:t>
            </w:r>
            <w:r>
              <w:rPr>
                <w:spacing w:val="-4"/>
              </w:rPr>
              <w:t xml:space="preserve"> </w:t>
            </w:r>
            <w:r>
              <w:rPr>
                <w:spacing w:val="-2"/>
              </w:rPr>
              <w:t>Members</w:t>
            </w:r>
          </w:p>
        </w:tc>
        <w:tc>
          <w:tcPr>
            <w:tcW w:w="1584" w:type="dxa"/>
          </w:tcPr>
          <w:p w14:paraId="17425471" w14:textId="77777777" w:rsidR="00A42689" w:rsidRDefault="00CB5622">
            <w:pPr>
              <w:pStyle w:val="TableParagraph"/>
              <w:ind w:left="108"/>
            </w:pPr>
            <w:r>
              <w:t>55</w:t>
            </w:r>
            <w:r>
              <w:rPr>
                <w:spacing w:val="-3"/>
              </w:rPr>
              <w:t xml:space="preserve"> </w:t>
            </w:r>
            <w:r>
              <w:rPr>
                <w:spacing w:val="-2"/>
              </w:rPr>
              <w:t>(2.63)</w:t>
            </w:r>
          </w:p>
        </w:tc>
        <w:tc>
          <w:tcPr>
            <w:tcW w:w="4464" w:type="dxa"/>
          </w:tcPr>
          <w:p w14:paraId="66AE3762" w14:textId="77777777" w:rsidR="00A42689" w:rsidRDefault="00CB5622">
            <w:pPr>
              <w:pStyle w:val="TableParagraph"/>
              <w:ind w:left="108"/>
            </w:pPr>
            <w:r>
              <w:t>Projected</w:t>
            </w:r>
            <w:r>
              <w:rPr>
                <w:spacing w:val="-6"/>
              </w:rPr>
              <w:t xml:space="preserve"> </w:t>
            </w:r>
            <w:r>
              <w:t>vertical</w:t>
            </w:r>
            <w:r>
              <w:rPr>
                <w:spacing w:val="-6"/>
              </w:rPr>
              <w:t xml:space="preserve"> </w:t>
            </w:r>
            <w:r>
              <w:t>area</w:t>
            </w:r>
            <w:r>
              <w:rPr>
                <w:spacing w:val="-6"/>
              </w:rPr>
              <w:t xml:space="preserve"> </w:t>
            </w:r>
            <w:r>
              <w:t>of</w:t>
            </w:r>
            <w:r>
              <w:rPr>
                <w:spacing w:val="-7"/>
              </w:rPr>
              <w:t xml:space="preserve"> </w:t>
            </w:r>
            <w:r>
              <w:rPr>
                <w:spacing w:val="-2"/>
              </w:rPr>
              <w:t>member</w:t>
            </w:r>
          </w:p>
        </w:tc>
      </w:tr>
      <w:tr w:rsidR="00A42689" w14:paraId="698391EF" w14:textId="77777777">
        <w:trPr>
          <w:trHeight w:val="252"/>
        </w:trPr>
        <w:tc>
          <w:tcPr>
            <w:tcW w:w="2394" w:type="dxa"/>
          </w:tcPr>
          <w:p w14:paraId="549E8945" w14:textId="77777777" w:rsidR="00A42689" w:rsidRDefault="00CB5622">
            <w:pPr>
              <w:pStyle w:val="TableParagraph"/>
            </w:pPr>
            <w:r>
              <w:rPr>
                <w:spacing w:val="-2"/>
              </w:rPr>
              <w:t>Signs</w:t>
            </w:r>
          </w:p>
        </w:tc>
        <w:tc>
          <w:tcPr>
            <w:tcW w:w="1584" w:type="dxa"/>
          </w:tcPr>
          <w:p w14:paraId="6104F1DC" w14:textId="77777777" w:rsidR="00A42689" w:rsidRDefault="00CB5622">
            <w:pPr>
              <w:pStyle w:val="TableParagraph"/>
            </w:pPr>
            <w:r>
              <w:t>35</w:t>
            </w:r>
            <w:r>
              <w:rPr>
                <w:spacing w:val="-3"/>
              </w:rPr>
              <w:t xml:space="preserve"> </w:t>
            </w:r>
            <w:r>
              <w:rPr>
                <w:spacing w:val="-2"/>
              </w:rPr>
              <w:t>(1.68)</w:t>
            </w:r>
          </w:p>
        </w:tc>
        <w:tc>
          <w:tcPr>
            <w:tcW w:w="4464" w:type="dxa"/>
          </w:tcPr>
          <w:p w14:paraId="15BF5DF1" w14:textId="77777777" w:rsidR="00A42689" w:rsidRDefault="00CB5622">
            <w:pPr>
              <w:pStyle w:val="TableParagraph"/>
              <w:ind w:left="108"/>
            </w:pPr>
            <w:r>
              <w:t>Projected</w:t>
            </w:r>
            <w:r>
              <w:rPr>
                <w:spacing w:val="-6"/>
              </w:rPr>
              <w:t xml:space="preserve"> </w:t>
            </w:r>
            <w:r>
              <w:t>vertical</w:t>
            </w:r>
            <w:r>
              <w:rPr>
                <w:spacing w:val="-6"/>
              </w:rPr>
              <w:t xml:space="preserve"> </w:t>
            </w:r>
            <w:r>
              <w:t>area</w:t>
            </w:r>
            <w:r>
              <w:rPr>
                <w:spacing w:val="-6"/>
              </w:rPr>
              <w:t xml:space="preserve"> </w:t>
            </w:r>
            <w:r>
              <w:t>of</w:t>
            </w:r>
            <w:r>
              <w:rPr>
                <w:spacing w:val="-7"/>
              </w:rPr>
              <w:t xml:space="preserve"> </w:t>
            </w:r>
            <w:r>
              <w:rPr>
                <w:spacing w:val="-4"/>
              </w:rPr>
              <w:t>sign</w:t>
            </w:r>
          </w:p>
        </w:tc>
      </w:tr>
      <w:tr w:rsidR="00A42689" w14:paraId="5845E36E" w14:textId="77777777">
        <w:trPr>
          <w:trHeight w:val="252"/>
        </w:trPr>
        <w:tc>
          <w:tcPr>
            <w:tcW w:w="2394" w:type="dxa"/>
          </w:tcPr>
          <w:p w14:paraId="77825E2E" w14:textId="77777777" w:rsidR="00A42689" w:rsidRDefault="00CB5622">
            <w:pPr>
              <w:pStyle w:val="TableParagraph"/>
            </w:pPr>
            <w:r>
              <w:t>Chain</w:t>
            </w:r>
            <w:r>
              <w:rPr>
                <w:spacing w:val="-5"/>
              </w:rPr>
              <w:t xml:space="preserve"> </w:t>
            </w:r>
            <w:r>
              <w:t>Link</w:t>
            </w:r>
            <w:r>
              <w:rPr>
                <w:spacing w:val="-6"/>
              </w:rPr>
              <w:t xml:space="preserve"> </w:t>
            </w:r>
            <w:r>
              <w:rPr>
                <w:spacing w:val="-2"/>
              </w:rPr>
              <w:t>Fencing</w:t>
            </w:r>
          </w:p>
        </w:tc>
        <w:tc>
          <w:tcPr>
            <w:tcW w:w="1584" w:type="dxa"/>
          </w:tcPr>
          <w:p w14:paraId="5F63FB2D" w14:textId="77777777" w:rsidR="00A42689" w:rsidRDefault="00CB5622">
            <w:pPr>
              <w:pStyle w:val="TableParagraph"/>
            </w:pPr>
            <w:r>
              <w:t>10</w:t>
            </w:r>
            <w:r>
              <w:rPr>
                <w:spacing w:val="-3"/>
              </w:rPr>
              <w:t xml:space="preserve"> </w:t>
            </w:r>
            <w:r>
              <w:rPr>
                <w:spacing w:val="-2"/>
              </w:rPr>
              <w:t>(0.48)</w:t>
            </w:r>
          </w:p>
        </w:tc>
        <w:tc>
          <w:tcPr>
            <w:tcW w:w="4464" w:type="dxa"/>
          </w:tcPr>
          <w:p w14:paraId="19A7DFEA" w14:textId="77777777" w:rsidR="00A42689" w:rsidRDefault="00CB5622">
            <w:pPr>
              <w:pStyle w:val="TableParagraph"/>
            </w:pPr>
            <w:r>
              <w:t>Full</w:t>
            </w:r>
            <w:r>
              <w:rPr>
                <w:spacing w:val="-5"/>
              </w:rPr>
              <w:t xml:space="preserve"> </w:t>
            </w:r>
            <w:r>
              <w:t>projected</w:t>
            </w:r>
            <w:r>
              <w:rPr>
                <w:spacing w:val="-4"/>
              </w:rPr>
              <w:t xml:space="preserve"> </w:t>
            </w:r>
            <w:r>
              <w:t>area</w:t>
            </w:r>
            <w:r>
              <w:rPr>
                <w:spacing w:val="-5"/>
              </w:rPr>
              <w:t xml:space="preserve"> </w:t>
            </w:r>
            <w:r>
              <w:t>of</w:t>
            </w:r>
            <w:r>
              <w:rPr>
                <w:spacing w:val="-4"/>
              </w:rPr>
              <w:t xml:space="preserve"> </w:t>
            </w:r>
            <w:r>
              <w:t>fencing</w:t>
            </w:r>
            <w:r>
              <w:rPr>
                <w:spacing w:val="-5"/>
              </w:rPr>
              <w:t xml:space="preserve"> </w:t>
            </w:r>
            <w:r>
              <w:t>as</w:t>
            </w:r>
            <w:r>
              <w:rPr>
                <w:spacing w:val="-5"/>
              </w:rPr>
              <w:t xml:space="preserve"> </w:t>
            </w:r>
            <w:r>
              <w:t>if</w:t>
            </w:r>
            <w:r>
              <w:rPr>
                <w:spacing w:val="-5"/>
              </w:rPr>
              <w:t xml:space="preserve"> </w:t>
            </w:r>
            <w:r>
              <w:rPr>
                <w:spacing w:val="-2"/>
              </w:rPr>
              <w:t>solid</w:t>
            </w:r>
          </w:p>
        </w:tc>
      </w:tr>
    </w:tbl>
    <w:p w14:paraId="0C32E17C" w14:textId="77777777" w:rsidR="00A42689" w:rsidRDefault="00A42689">
      <w:pPr>
        <w:pStyle w:val="BodyText"/>
      </w:pPr>
    </w:p>
    <w:p w14:paraId="17010274" w14:textId="77777777" w:rsidR="00A42689" w:rsidRDefault="00A42689">
      <w:pPr>
        <w:pStyle w:val="BodyText"/>
        <w:spacing w:before="5"/>
      </w:pPr>
    </w:p>
    <w:p w14:paraId="1CC7DCA8" w14:textId="77777777" w:rsidR="00A42689" w:rsidRDefault="00CB5622">
      <w:pPr>
        <w:pStyle w:val="BodyText"/>
        <w:ind w:left="220" w:right="119"/>
        <w:jc w:val="both"/>
      </w:pPr>
      <w:r>
        <w:t>The railings shall be designed per the appropriate Bridge Design Specifications for bicycle railings as shown on the plans.</w:t>
      </w:r>
      <w:r>
        <w:rPr>
          <w:spacing w:val="40"/>
        </w:rPr>
        <w:t xml:space="preserve"> </w:t>
      </w:r>
      <w:r>
        <w:t>Smooth rub rails shall be attached to the bicycle railing and located at a bicycle handlebar height of 3.5 ft. (1.1 m) above the top</w:t>
      </w:r>
      <w:r>
        <w:t xml:space="preserve"> of the deck.</w:t>
      </w:r>
    </w:p>
    <w:p w14:paraId="3A68DB91" w14:textId="77777777" w:rsidR="00A42689" w:rsidRDefault="00CB5622">
      <w:pPr>
        <w:pStyle w:val="BodyText"/>
        <w:spacing w:before="252"/>
        <w:ind w:left="220" w:right="117"/>
        <w:jc w:val="both"/>
      </w:pPr>
      <w:r>
        <w:t>Prior to beginning construction or fabrication, the Contractor shall submit design calculations</w:t>
      </w:r>
      <w:r>
        <w:rPr>
          <w:spacing w:val="40"/>
        </w:rPr>
        <w:t xml:space="preserve"> </w:t>
      </w:r>
      <w:r>
        <w:t>and six sets of shop drawings for each pedestrian bridge to the Engineer for review and approval.</w:t>
      </w:r>
      <w:r>
        <w:rPr>
          <w:spacing w:val="40"/>
        </w:rPr>
        <w:t xml:space="preserve"> </w:t>
      </w:r>
      <w:r>
        <w:t>In addition, for bridges with any span over 150 ft. (46 m), or over a State or Federal Route, or within the States Right-of-Way, a copy of the shop drawings w</w:t>
      </w:r>
      <w:r>
        <w:t>ill be reviewed and approved for structural adequacy, by the Bureau of Bridges and Structures prior to final</w:t>
      </w:r>
      <w:r>
        <w:rPr>
          <w:spacing w:val="40"/>
        </w:rPr>
        <w:t xml:space="preserve"> </w:t>
      </w:r>
      <w:r>
        <w:t>approval of shop drawings.</w:t>
      </w:r>
      <w:r>
        <w:rPr>
          <w:spacing w:val="40"/>
        </w:rPr>
        <w:t xml:space="preserve"> </w:t>
      </w:r>
      <w:r>
        <w:t>The shop drawings shall include all support reactions for each load type.</w:t>
      </w:r>
      <w:r>
        <w:rPr>
          <w:spacing w:val="40"/>
        </w:rPr>
        <w:t xml:space="preserve"> </w:t>
      </w:r>
      <w:r>
        <w:t>The following certification shall be placed on</w:t>
      </w:r>
      <w:r>
        <w:t xml:space="preserve"> the first sheet of the bridge shop plans adjacent to the seal and signature of the Structural Engineer:</w:t>
      </w:r>
    </w:p>
    <w:p w14:paraId="63BC2EE7" w14:textId="77777777" w:rsidR="00A42689" w:rsidRDefault="00A42689">
      <w:pPr>
        <w:pStyle w:val="BodyText"/>
      </w:pPr>
    </w:p>
    <w:p w14:paraId="45603CF8" w14:textId="77777777" w:rsidR="00A42689" w:rsidRDefault="00CB5622">
      <w:pPr>
        <w:pStyle w:val="BodyText"/>
        <w:ind w:left="579" w:right="117"/>
        <w:jc w:val="both"/>
      </w:pPr>
      <w:r>
        <w:t>“I certify that to the best of my knowledge, information and belief, this bridge design is structurally adequate for the design loading shown on the p</w:t>
      </w:r>
      <w:r>
        <w:t xml:space="preserve">lans and complies with the requirements of the Contract and the current ‘Guide Specifications for Design of Pedestrian </w:t>
      </w:r>
      <w:r>
        <w:rPr>
          <w:spacing w:val="-2"/>
        </w:rPr>
        <w:t>Bridges’.”</w:t>
      </w:r>
    </w:p>
    <w:p w14:paraId="180FC2E6" w14:textId="77777777" w:rsidR="00A42689" w:rsidRDefault="00A42689">
      <w:pPr>
        <w:pStyle w:val="BodyText"/>
      </w:pPr>
    </w:p>
    <w:p w14:paraId="2FB4AC00" w14:textId="77777777" w:rsidR="00A42689" w:rsidRDefault="00CB5622">
      <w:pPr>
        <w:pStyle w:val="BodyText"/>
        <w:ind w:left="220" w:right="117"/>
        <w:jc w:val="both"/>
      </w:pPr>
      <w:r>
        <w:t>The substructure is designed per the appropriate Bridge Design Specifications and based on</w:t>
      </w:r>
      <w:r>
        <w:rPr>
          <w:spacing w:val="40"/>
        </w:rPr>
        <w:t xml:space="preserve"> </w:t>
      </w:r>
      <w:r>
        <w:t xml:space="preserve">the assumed truss loads, as shown </w:t>
      </w:r>
      <w:r>
        <w:t>on the plans.</w:t>
      </w:r>
      <w:r>
        <w:rPr>
          <w:spacing w:val="40"/>
        </w:rPr>
        <w:t xml:space="preserve"> </w:t>
      </w:r>
      <w:r>
        <w:t>If the manufacturer’s design exceeds those loads and/or the substructure needs to be adjusted to accommodate the truss superstructure chosen, then the Contractor shall submit the redesign to the Engineer for approval prior to ordering any mat</w:t>
      </w:r>
      <w:r>
        <w:t>erial or starting construction.</w:t>
      </w:r>
      <w:r>
        <w:rPr>
          <w:spacing w:val="40"/>
        </w:rPr>
        <w:t xml:space="preserve"> </w:t>
      </w:r>
      <w:r>
        <w:t>All design calculations, shop drawings and redesigned substructure drawings shall be sealed by a Structural Engineer licensed in the State of Illinois.</w:t>
      </w:r>
    </w:p>
    <w:p w14:paraId="4137498D" w14:textId="77777777" w:rsidR="00A42689" w:rsidRDefault="00A42689">
      <w:pPr>
        <w:pStyle w:val="BodyText"/>
      </w:pPr>
    </w:p>
    <w:p w14:paraId="010D7FFE" w14:textId="77777777" w:rsidR="00A42689" w:rsidRDefault="00CB5622">
      <w:pPr>
        <w:pStyle w:val="BodyText"/>
        <w:ind w:left="219" w:right="119"/>
        <w:jc w:val="both"/>
      </w:pPr>
      <w:r>
        <w:rPr>
          <w:b/>
        </w:rPr>
        <w:t>Construction:</w:t>
      </w:r>
      <w:r>
        <w:rPr>
          <w:b/>
          <w:spacing w:val="40"/>
        </w:rPr>
        <w:t xml:space="preserve"> </w:t>
      </w:r>
      <w:r>
        <w:t>Truss erection procedures shall be according to the manuf</w:t>
      </w:r>
      <w:r>
        <w:t>acturer’s</w:t>
      </w:r>
      <w:r>
        <w:rPr>
          <w:spacing w:val="-1"/>
        </w:rPr>
        <w:t xml:space="preserve"> </w:t>
      </w:r>
      <w:r>
        <w:t>instructions. The deck shall be placed according to the applicable Sections of the Standard Specifications.</w:t>
      </w:r>
    </w:p>
    <w:p w14:paraId="7DF3D79C" w14:textId="77777777" w:rsidR="00A42689" w:rsidRDefault="00A42689">
      <w:pPr>
        <w:pStyle w:val="BodyText"/>
      </w:pPr>
    </w:p>
    <w:p w14:paraId="0EA37F8D" w14:textId="77777777" w:rsidR="00A42689" w:rsidRDefault="00CB5622">
      <w:pPr>
        <w:pStyle w:val="BodyText"/>
        <w:ind w:left="220" w:right="116"/>
        <w:jc w:val="both"/>
      </w:pPr>
      <w:r>
        <w:t>When weathering steel is used, all structural steel shall be prepared according to Article 506.07, except as follows.</w:t>
      </w:r>
      <w:r>
        <w:rPr>
          <w:spacing w:val="80"/>
        </w:rPr>
        <w:t xml:space="preserve"> </w:t>
      </w:r>
      <w:r>
        <w:t>All visible surface</w:t>
      </w:r>
      <w:r>
        <w:t>s shall be cleaned to a minimum SSPC-SP7 Brush Off Blast</w:t>
      </w:r>
      <w:r>
        <w:rPr>
          <w:spacing w:val="11"/>
        </w:rPr>
        <w:t xml:space="preserve"> </w:t>
      </w:r>
      <w:r>
        <w:t>Cleaning.</w:t>
      </w:r>
      <w:r>
        <w:rPr>
          <w:spacing w:val="55"/>
          <w:w w:val="150"/>
        </w:rPr>
        <w:t xml:space="preserve"> </w:t>
      </w:r>
      <w:r>
        <w:t>Visible</w:t>
      </w:r>
      <w:r>
        <w:rPr>
          <w:spacing w:val="12"/>
        </w:rPr>
        <w:t xml:space="preserve"> </w:t>
      </w:r>
      <w:r>
        <w:t>surfaces</w:t>
      </w:r>
      <w:r>
        <w:rPr>
          <w:spacing w:val="12"/>
        </w:rPr>
        <w:t xml:space="preserve"> </w:t>
      </w:r>
      <w:r>
        <w:t>include</w:t>
      </w:r>
      <w:r>
        <w:rPr>
          <w:spacing w:val="11"/>
        </w:rPr>
        <w:t xml:space="preserve"> </w:t>
      </w:r>
      <w:r>
        <w:t>any</w:t>
      </w:r>
      <w:r>
        <w:rPr>
          <w:spacing w:val="12"/>
        </w:rPr>
        <w:t xml:space="preserve"> </w:t>
      </w:r>
      <w:r>
        <w:t>surface</w:t>
      </w:r>
      <w:r>
        <w:rPr>
          <w:spacing w:val="12"/>
        </w:rPr>
        <w:t xml:space="preserve"> </w:t>
      </w:r>
      <w:r>
        <w:t>that</w:t>
      </w:r>
      <w:r>
        <w:rPr>
          <w:spacing w:val="12"/>
        </w:rPr>
        <w:t xml:space="preserve"> </w:t>
      </w:r>
      <w:r>
        <w:t>is</w:t>
      </w:r>
      <w:r>
        <w:rPr>
          <w:spacing w:val="12"/>
        </w:rPr>
        <w:t xml:space="preserve"> </w:t>
      </w:r>
      <w:r>
        <w:t>visible</w:t>
      </w:r>
      <w:r>
        <w:rPr>
          <w:spacing w:val="12"/>
        </w:rPr>
        <w:t xml:space="preserve"> </w:t>
      </w:r>
      <w:r>
        <w:t>from</w:t>
      </w:r>
      <w:r>
        <w:rPr>
          <w:spacing w:val="12"/>
        </w:rPr>
        <w:t xml:space="preserve"> </w:t>
      </w:r>
      <w:r>
        <w:t>the</w:t>
      </w:r>
      <w:r>
        <w:rPr>
          <w:spacing w:val="12"/>
        </w:rPr>
        <w:t xml:space="preserve"> </w:t>
      </w:r>
      <w:r>
        <w:t>deck</w:t>
      </w:r>
      <w:r>
        <w:rPr>
          <w:spacing w:val="12"/>
        </w:rPr>
        <w:t xml:space="preserve"> </w:t>
      </w:r>
      <w:r>
        <w:t>or</w:t>
      </w:r>
      <w:r>
        <w:rPr>
          <w:spacing w:val="12"/>
        </w:rPr>
        <w:t xml:space="preserve"> </w:t>
      </w:r>
      <w:r>
        <w:t>outside</w:t>
      </w:r>
      <w:r>
        <w:rPr>
          <w:spacing w:val="12"/>
        </w:rPr>
        <w:t xml:space="preserve"> </w:t>
      </w:r>
      <w:r>
        <w:rPr>
          <w:spacing w:val="-5"/>
        </w:rPr>
        <w:t>of</w:t>
      </w:r>
    </w:p>
    <w:p w14:paraId="3160F740" w14:textId="77777777" w:rsidR="00A42689" w:rsidRDefault="00A42689">
      <w:pPr>
        <w:jc w:val="both"/>
        <w:sectPr w:rsidR="00A42689">
          <w:pgSz w:w="12240" w:h="15840"/>
          <w:pgMar w:top="1820" w:right="1320" w:bottom="280" w:left="1220" w:header="720" w:footer="720" w:gutter="0"/>
          <w:cols w:space="720"/>
        </w:sectPr>
      </w:pPr>
    </w:p>
    <w:p w14:paraId="6FFA2079" w14:textId="77777777" w:rsidR="00A42689" w:rsidRDefault="00CB5622">
      <w:pPr>
        <w:pStyle w:val="BodyText"/>
      </w:pPr>
      <w:r>
        <w:rPr>
          <w:noProof/>
        </w:rPr>
        <w:lastRenderedPageBreak/>
        <mc:AlternateContent>
          <mc:Choice Requires="wps">
            <w:drawing>
              <wp:anchor distT="0" distB="0" distL="0" distR="0" simplePos="0" relativeHeight="15729152" behindDoc="0" locked="0" layoutInCell="1" allowOverlap="1" wp14:anchorId="4907FFA3" wp14:editId="52E6E46F">
                <wp:simplePos x="0" y="0"/>
                <wp:positionH relativeFrom="page">
                  <wp:posOffset>457200</wp:posOffset>
                </wp:positionH>
                <wp:positionV relativeFrom="page">
                  <wp:posOffset>2242566</wp:posOffset>
                </wp:positionV>
                <wp:extent cx="9525" cy="963930"/>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963930"/>
                        </a:xfrm>
                        <a:custGeom>
                          <a:avLst/>
                          <a:gdLst/>
                          <a:ahLst/>
                          <a:cxnLst/>
                          <a:rect l="l" t="t" r="r" b="b"/>
                          <a:pathLst>
                            <a:path w="9525" h="963930">
                              <a:moveTo>
                                <a:pt x="9143" y="0"/>
                              </a:moveTo>
                              <a:lnTo>
                                <a:pt x="0" y="0"/>
                              </a:lnTo>
                              <a:lnTo>
                                <a:pt x="0" y="963929"/>
                              </a:lnTo>
                              <a:lnTo>
                                <a:pt x="9143" y="963929"/>
                              </a:lnTo>
                              <a:lnTo>
                                <a:pt x="91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219ADF0" id="Graphic 2" o:spid="_x0000_s1026" style="position:absolute;margin-left:36pt;margin-top:176.6pt;width:.75pt;height:75.9pt;z-index:15729152;visibility:visible;mso-wrap-style:square;mso-wrap-distance-left:0;mso-wrap-distance-top:0;mso-wrap-distance-right:0;mso-wrap-distance-bottom:0;mso-position-horizontal:absolute;mso-position-horizontal-relative:page;mso-position-vertical:absolute;mso-position-vertical-relative:page;v-text-anchor:top" coordsize="9525,963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" path="m9143,l,,,963929r9143,l9143,xe" fillcolor="black" stroked="f">
                <v:path arrowok="t"/>
                <w10:wrap anchorx="page" anchory="page"/>
              </v:shape>
            </w:pict>
          </mc:Fallback>
        </mc:AlternateContent>
      </w:r>
    </w:p>
    <w:p w14:paraId="69BCB412" w14:textId="77777777" w:rsidR="00A42689" w:rsidRDefault="00A42689">
      <w:pPr>
        <w:pStyle w:val="BodyText"/>
        <w:spacing w:before="194"/>
      </w:pPr>
    </w:p>
    <w:p w14:paraId="075508F5" w14:textId="77777777" w:rsidR="00A42689" w:rsidRDefault="00CB5622">
      <w:pPr>
        <w:pStyle w:val="BodyText"/>
        <w:ind w:left="220" w:right="118"/>
        <w:jc w:val="both"/>
      </w:pPr>
      <w:r>
        <w:t>the structure.</w:t>
      </w:r>
      <w:r>
        <w:rPr>
          <w:spacing w:val="80"/>
        </w:rPr>
        <w:t xml:space="preserve"> </w:t>
      </w:r>
      <w:r>
        <w:t>When weathering steel is used, no additional painting is required at the ends of the truss.</w:t>
      </w:r>
    </w:p>
    <w:p w14:paraId="6445607D" w14:textId="77777777" w:rsidR="00A42689" w:rsidRDefault="00CB5622">
      <w:pPr>
        <w:pStyle w:val="BodyText"/>
        <w:spacing w:before="252"/>
        <w:ind w:left="220"/>
        <w:jc w:val="both"/>
      </w:pPr>
      <w:r>
        <w:t>When</w:t>
      </w:r>
      <w:r>
        <w:rPr>
          <w:spacing w:val="-3"/>
        </w:rPr>
        <w:t xml:space="preserve"> </w:t>
      </w:r>
      <w:r>
        <w:t>painting</w:t>
      </w:r>
      <w:r>
        <w:rPr>
          <w:spacing w:val="-3"/>
        </w:rPr>
        <w:t xml:space="preserve"> </w:t>
      </w:r>
      <w:r>
        <w:t>is</w:t>
      </w:r>
      <w:r>
        <w:rPr>
          <w:spacing w:val="-3"/>
        </w:rPr>
        <w:t xml:space="preserve"> </w:t>
      </w:r>
      <w:r>
        <w:t>specified,</w:t>
      </w:r>
      <w:r>
        <w:rPr>
          <w:spacing w:val="-2"/>
        </w:rPr>
        <w:t xml:space="preserve"> </w:t>
      </w:r>
      <w:r>
        <w:t>all</w:t>
      </w:r>
      <w:r>
        <w:rPr>
          <w:spacing w:val="-3"/>
        </w:rPr>
        <w:t xml:space="preserve"> </w:t>
      </w:r>
      <w:r>
        <w:t>structural</w:t>
      </w:r>
      <w:r>
        <w:rPr>
          <w:spacing w:val="-2"/>
        </w:rPr>
        <w:t xml:space="preserve"> </w:t>
      </w:r>
      <w:r>
        <w:t>steel</w:t>
      </w:r>
      <w:r>
        <w:rPr>
          <w:spacing w:val="-3"/>
        </w:rPr>
        <w:t xml:space="preserve"> </w:t>
      </w:r>
      <w:r>
        <w:t>shall</w:t>
      </w:r>
      <w:r>
        <w:rPr>
          <w:spacing w:val="-3"/>
        </w:rPr>
        <w:t xml:space="preserve"> </w:t>
      </w:r>
      <w:r>
        <w:t>be</w:t>
      </w:r>
      <w:r>
        <w:rPr>
          <w:spacing w:val="-3"/>
        </w:rPr>
        <w:t xml:space="preserve"> </w:t>
      </w:r>
      <w:r>
        <w:t>cleaned</w:t>
      </w:r>
      <w:r>
        <w:rPr>
          <w:spacing w:val="-2"/>
        </w:rPr>
        <w:t xml:space="preserve"> </w:t>
      </w:r>
      <w:r>
        <w:t>and</w:t>
      </w:r>
      <w:r>
        <w:rPr>
          <w:spacing w:val="-3"/>
        </w:rPr>
        <w:t xml:space="preserve"> </w:t>
      </w:r>
      <w:r>
        <w:t>painted</w:t>
      </w:r>
      <w:r>
        <w:rPr>
          <w:spacing w:val="-3"/>
        </w:rPr>
        <w:t xml:space="preserve"> </w:t>
      </w:r>
      <w:r>
        <w:t>according</w:t>
      </w:r>
      <w:r>
        <w:rPr>
          <w:spacing w:val="-3"/>
        </w:rPr>
        <w:t xml:space="preserve"> </w:t>
      </w:r>
      <w:r>
        <w:t>to</w:t>
      </w:r>
      <w:r>
        <w:rPr>
          <w:spacing w:val="-3"/>
        </w:rPr>
        <w:t xml:space="preserve"> </w:t>
      </w:r>
      <w:proofErr w:type="gramStart"/>
      <w:r>
        <w:rPr>
          <w:spacing w:val="-2"/>
        </w:rPr>
        <w:t>Section</w:t>
      </w:r>
      <w:proofErr w:type="gramEnd"/>
    </w:p>
    <w:p w14:paraId="5493922C" w14:textId="77777777" w:rsidR="00A42689" w:rsidRDefault="00CB5622">
      <w:pPr>
        <w:pStyle w:val="BodyText"/>
        <w:ind w:left="220"/>
      </w:pPr>
      <w:r>
        <w:t>506.</w:t>
      </w:r>
      <w:r>
        <w:rPr>
          <w:spacing w:val="80"/>
        </w:rPr>
        <w:t xml:space="preserve"> </w:t>
      </w:r>
      <w:r>
        <w:t>The</w:t>
      </w:r>
      <w:r>
        <w:rPr>
          <w:spacing w:val="33"/>
        </w:rPr>
        <w:t xml:space="preserve"> </w:t>
      </w:r>
      <w:r>
        <w:t>paint</w:t>
      </w:r>
      <w:r>
        <w:rPr>
          <w:spacing w:val="33"/>
        </w:rPr>
        <w:t xml:space="preserve"> </w:t>
      </w:r>
      <w:r>
        <w:t>system</w:t>
      </w:r>
      <w:r>
        <w:rPr>
          <w:spacing w:val="31"/>
        </w:rPr>
        <w:t xml:space="preserve"> </w:t>
      </w:r>
      <w:r>
        <w:t>shall</w:t>
      </w:r>
      <w:r>
        <w:rPr>
          <w:spacing w:val="33"/>
        </w:rPr>
        <w:t xml:space="preserve"> </w:t>
      </w:r>
      <w:r>
        <w:t>be</w:t>
      </w:r>
      <w:r>
        <w:rPr>
          <w:spacing w:val="33"/>
        </w:rPr>
        <w:t xml:space="preserve"> </w:t>
      </w:r>
      <w:r>
        <w:t>the</w:t>
      </w:r>
      <w:r>
        <w:rPr>
          <w:spacing w:val="33"/>
        </w:rPr>
        <w:t xml:space="preserve"> </w:t>
      </w:r>
      <w:r>
        <w:t>Organic</w:t>
      </w:r>
      <w:r>
        <w:rPr>
          <w:spacing w:val="33"/>
        </w:rPr>
        <w:t xml:space="preserve"> </w:t>
      </w:r>
      <w:r>
        <w:t>Zinc-Rich/Epoxy/Uretha</w:t>
      </w:r>
      <w:r>
        <w:t>ne</w:t>
      </w:r>
      <w:r>
        <w:rPr>
          <w:spacing w:val="33"/>
        </w:rPr>
        <w:t xml:space="preserve"> </w:t>
      </w:r>
      <w:r>
        <w:t>System</w:t>
      </w:r>
      <w:r>
        <w:rPr>
          <w:spacing w:val="33"/>
        </w:rPr>
        <w:t xml:space="preserve"> </w:t>
      </w:r>
      <w:r>
        <w:t>according</w:t>
      </w:r>
      <w:r>
        <w:rPr>
          <w:spacing w:val="33"/>
        </w:rPr>
        <w:t xml:space="preserve"> </w:t>
      </w:r>
      <w:r>
        <w:t>to Article 506.08(b).</w:t>
      </w:r>
      <w:r>
        <w:rPr>
          <w:spacing w:val="40"/>
        </w:rPr>
        <w:t xml:space="preserve"> </w:t>
      </w:r>
      <w:r>
        <w:t>The color of the finish coat shall be as specified in the plans.</w:t>
      </w:r>
    </w:p>
    <w:p w14:paraId="3C5B7801" w14:textId="77777777" w:rsidR="00A42689" w:rsidRDefault="00A42689">
      <w:pPr>
        <w:pStyle w:val="BodyText"/>
        <w:spacing w:before="1"/>
      </w:pPr>
    </w:p>
    <w:p w14:paraId="1C1785EC" w14:textId="77777777" w:rsidR="00A42689" w:rsidRDefault="00CB5622">
      <w:pPr>
        <w:pStyle w:val="BodyText"/>
        <w:ind w:left="220" w:right="117"/>
        <w:jc w:val="both"/>
      </w:pPr>
      <w:r>
        <w:t xml:space="preserve">The shop qualifications found in Article 506.06(a) of AISC Sophisticated Paint Endorsement or SSPC QP-3 qualifications need not be required for shop painting of pedestrian truss </w:t>
      </w:r>
      <w:r>
        <w:rPr>
          <w:spacing w:val="-2"/>
        </w:rPr>
        <w:t>superstructures.</w:t>
      </w:r>
    </w:p>
    <w:p w14:paraId="4D79741E" w14:textId="77777777" w:rsidR="00A42689" w:rsidRDefault="00A42689">
      <w:pPr>
        <w:pStyle w:val="BodyText"/>
      </w:pPr>
    </w:p>
    <w:p w14:paraId="47688461" w14:textId="77777777" w:rsidR="00A42689" w:rsidRDefault="00CB5622">
      <w:pPr>
        <w:pStyle w:val="BodyText"/>
        <w:ind w:left="220" w:right="119"/>
        <w:jc w:val="both"/>
      </w:pPr>
      <w:r>
        <w:rPr>
          <w:b/>
        </w:rPr>
        <w:t>Method of Measurement:</w:t>
      </w:r>
      <w:r>
        <w:rPr>
          <w:b/>
          <w:spacing w:val="40"/>
        </w:rPr>
        <w:t xml:space="preserve"> </w:t>
      </w:r>
      <w:r>
        <w:t>The pedestrian truss superstructure w</w:t>
      </w:r>
      <w:r>
        <w:t xml:space="preserve">ill be measured in square feet (square meters) of completed and accepted structure measured horizontally from </w:t>
      </w:r>
      <w:proofErr w:type="gramStart"/>
      <w:r>
        <w:t>back to back</w:t>
      </w:r>
      <w:proofErr w:type="gramEnd"/>
      <w:r>
        <w:t xml:space="preserve"> of abutments and within the clear path width as defined on the plans.</w:t>
      </w:r>
    </w:p>
    <w:p w14:paraId="0FAB6325" w14:textId="77777777" w:rsidR="00A42689" w:rsidRDefault="00CB5622">
      <w:pPr>
        <w:pStyle w:val="BodyText"/>
        <w:spacing w:before="252"/>
        <w:ind w:left="220" w:right="117"/>
        <w:jc w:val="both"/>
      </w:pPr>
      <w:r>
        <w:rPr>
          <w:b/>
        </w:rPr>
        <w:t>Basis of Payment:</w:t>
      </w:r>
      <w:r>
        <w:rPr>
          <w:b/>
          <w:spacing w:val="40"/>
        </w:rPr>
        <w:t xml:space="preserve"> </w:t>
      </w:r>
      <w:r>
        <w:t>The pedestrian superstructure will be paid for at the contract unit price per square foot (square meter) for PEDESTRIAN TRUSS SUPERSTRUCTURE.</w:t>
      </w:r>
    </w:p>
    <w:sectPr w:rsidR="00A42689">
      <w:pgSz w:w="12240" w:h="15840"/>
      <w:pgMar w:top="1820" w:right="132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A42689"/>
    <w:rsid w:val="00A42689"/>
    <w:rsid w:val="00CB56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FA210"/>
  <w15:docId w15:val="{CEB68262-607D-4954-BAA0-682BBC28C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22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style>
  <w:style w:type="paragraph" w:customStyle="1" w:styleId="TableParagraph">
    <w:name w:val="Table Paragraph"/>
    <w:basedOn w:val="Normal"/>
    <w:uiPriority w:val="1"/>
    <w:qFormat/>
    <w:pPr>
      <w:spacing w:line="233" w:lineRule="exact"/>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1011</Words>
  <Characters>5764</Characters>
  <Application>Microsoft Office Word</Application>
  <DocSecurity>0</DocSecurity>
  <Lines>48</Lines>
  <Paragraphs>13</Paragraphs>
  <ScaleCrop>false</ScaleCrop>
  <Company/>
  <LinksUpToDate>false</LinksUpToDate>
  <CharactersWithSpaces>6762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GBSP33</dc:title>
  <cp:lastModifiedBy>Smith, Kari L</cp:lastModifiedBy>
  <cp:revision>2</cp:revision>
  <dcterms:created xsi:type="dcterms:W3CDTF">2024-05-31T15:01:00Z</dcterms:created>
  <dcterms:modified xsi:type="dcterms:W3CDTF">2024-05-31T15:02:00Z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2023-10-24T00:00:00Z</vt:filetime>
  </property>
  <property fmtid="{D5CDD505-2E9C-101B-9397-08002B2CF9AE}" pid="3" name="Creator">
    <vt:lpwstr>PScript5.dll Version 5.2.2</vt:lpwstr>
  </property>
  <property fmtid="{D5CDD505-2E9C-101B-9397-08002B2CF9AE}" pid="4" name="LastSaved">
    <vt:filetime>2024-05-31T00:00:00Z</vt:filetime>
  </property>
  <property fmtid="{D5CDD505-2E9C-101B-9397-08002B2CF9AE}" pid="5" name="Producer">
    <vt:lpwstr>Acrobat Distiller 22.0 (Windows)</vt:lpwstr>
  </property>
</Properties>
</file>